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E538A">
      <w:pPr>
        <w:spacing w:line="360" w:lineRule="auto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  <w:bookmarkStart w:id="0" w:name="_Toc24518"/>
      <w:bookmarkStart w:id="1" w:name="_Toc5565"/>
      <w:bookmarkStart w:id="2" w:name="_Toc31074"/>
      <w:bookmarkStart w:id="3" w:name="_Toc24354"/>
      <w:bookmarkStart w:id="4" w:name="_Toc10039"/>
      <w:bookmarkStart w:id="5" w:name="_Toc17527"/>
      <w:r>
        <w:rPr>
          <w:rFonts w:hint="eastAsia" w:ascii="Times New Roman" w:hAnsi="Times New Roman" w:eastAsia="宋体" w:cs="宋体"/>
          <w:b/>
          <w:bCs/>
          <w:sz w:val="32"/>
          <w:szCs w:val="32"/>
          <w:u w:val="single"/>
          <w:lang w:val="en-US" w:eastAsia="zh-CN"/>
        </w:rPr>
        <w:t>S217南梁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u w:val="single"/>
        </w:rPr>
        <w:t>桥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实测数据记录表</w:t>
      </w:r>
      <w:bookmarkEnd w:id="0"/>
      <w:bookmarkEnd w:id="1"/>
      <w:bookmarkEnd w:id="2"/>
      <w:bookmarkEnd w:id="3"/>
      <w:bookmarkEnd w:id="4"/>
      <w:bookmarkEnd w:id="5"/>
    </w:p>
    <w:p w14:paraId="00A7992C">
      <w:pPr>
        <w:spacing w:line="360" w:lineRule="auto"/>
        <w:jc w:val="center"/>
        <w:rPr>
          <w:rFonts w:ascii="Times New Roman" w:hAnsi="Times New Roman" w:eastAsia="宋体" w:cs="宋体"/>
          <w:b/>
          <w:bCs/>
          <w:sz w:val="24"/>
          <w:szCs w:val="24"/>
        </w:rPr>
      </w:pPr>
    </w:p>
    <w:p w14:paraId="38ABDDC3">
      <w:pPr>
        <w:spacing w:line="360" w:lineRule="auto"/>
        <w:jc w:val="left"/>
        <w:rPr>
          <w:rFonts w:ascii="Times New Roman" w:hAnsi="Times New Roman" w:eastAsia="宋体" w:cs="宋体"/>
          <w:b/>
          <w:bCs/>
          <w:sz w:val="24"/>
          <w:szCs w:val="24"/>
          <w:u w:val="single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测量：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4"/>
          <w:szCs w:val="24"/>
          <w:u w:val="single"/>
          <w:lang w:val="en-US" w:eastAsia="zh-CN"/>
        </w:rPr>
        <w:t>马维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记录：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宋体"/>
          <w:sz w:val="24"/>
          <w:szCs w:val="24"/>
          <w:u w:val="single"/>
          <w:lang w:val="en-US" w:eastAsia="zh-CN"/>
        </w:rPr>
        <w:t>王晓东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  <w:u w:val="single"/>
          <w:lang w:val="en-US" w:eastAsia="zh-CN"/>
        </w:rPr>
        <w:t>2025.10.23</w:t>
      </w:r>
      <w:r>
        <w:rPr>
          <w:rFonts w:hint="eastAsia" w:ascii="Times New Roman" w:hAnsi="Times New Roman" w:eastAsia="宋体" w:cs="宋体"/>
          <w:sz w:val="24"/>
          <w:szCs w:val="24"/>
          <w:u w:val="single"/>
        </w:rPr>
        <w:t xml:space="preserve"> </w:t>
      </w:r>
    </w:p>
    <w:tbl>
      <w:tblPr>
        <w:tblStyle w:val="3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28"/>
        <w:gridCol w:w="378"/>
        <w:gridCol w:w="792"/>
        <w:gridCol w:w="2188"/>
        <w:gridCol w:w="2117"/>
        <w:gridCol w:w="2035"/>
      </w:tblGrid>
      <w:tr w14:paraId="5F2D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6532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项目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7DA20EEB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选项、参数或描述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D2352D1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备注</w:t>
            </w:r>
          </w:p>
        </w:tc>
      </w:tr>
      <w:tr w14:paraId="68A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2D082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路线编号及名称</w:t>
            </w:r>
          </w:p>
          <w:p w14:paraId="15C5EF8F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桥梁中心桩号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6583F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路线编号及名称：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S217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阜锦线</w:t>
            </w:r>
          </w:p>
          <w:p w14:paraId="1383DCE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桥梁中心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桩号：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K39+284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4BED952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</w:tr>
      <w:tr w14:paraId="1D7F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18A4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建设及维修加固时间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73724C8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建成于</w:t>
            </w:r>
            <w:r>
              <w:rPr>
                <w:rFonts w:hint="default" w:ascii="Times New Roman" w:hAnsi="Times New Roman" w:eastAsia="宋体" w:cs="仿宋"/>
                <w:sz w:val="22"/>
                <w:szCs w:val="28"/>
                <w:lang w:val="en-US" w:eastAsia="zh-CN"/>
              </w:rPr>
              <w:t>1967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年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02EEC81D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填写建成时间；如经维修加固，需填写主要工程内容及实施时间</w:t>
            </w:r>
          </w:p>
        </w:tc>
      </w:tr>
      <w:tr w14:paraId="094F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9624C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设计荷载等级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2DFCDFC4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89规范：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汽-10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汽-15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汽-20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汽-超20</w:t>
            </w:r>
          </w:p>
          <w:p w14:paraId="59213A18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04规范：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公路-I级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公路-II级</w:t>
            </w:r>
          </w:p>
          <w:p w14:paraId="6ABE8707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15规范：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公路-I级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公路-II级</w:t>
            </w:r>
          </w:p>
          <w:p w14:paraId="2A4F0F5B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其他：</w:t>
            </w:r>
          </w:p>
          <w:p w14:paraId="360CDA8B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2628E116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选项未列出者需另行填写</w:t>
            </w:r>
          </w:p>
        </w:tc>
      </w:tr>
      <w:tr w14:paraId="7821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6514E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桥梁结构体系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1419EF4F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简支梁桥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连续梁桥</w:t>
            </w:r>
          </w:p>
          <w:p w14:paraId="41FE7899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其他：</w:t>
            </w:r>
          </w:p>
          <w:p w14:paraId="5A6569AF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7F94522F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</w:tr>
      <w:tr w14:paraId="4AA4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F64A3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桥梁孔径/m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0614AB3E">
            <w:pPr>
              <w:jc w:val="center"/>
              <w:rPr>
                <w:rFonts w:hint="default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61FA1DD2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填写示例：</w:t>
            </w:r>
          </w:p>
          <w:p w14:paraId="5356F940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3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×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20+4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×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20+3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×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20</w:t>
            </w:r>
          </w:p>
        </w:tc>
      </w:tr>
      <w:tr w14:paraId="7451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FF3ED5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桥梁净空/m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281A3CC2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单幅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整体式双幅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分离式双幅</w:t>
            </w:r>
          </w:p>
          <w:p w14:paraId="1199ADFB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4FB41EF2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填写示例：</w:t>
            </w:r>
          </w:p>
          <w:p w14:paraId="4C13FC8F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单幅：</w:t>
            </w:r>
          </w:p>
          <w:p w14:paraId="35CCE134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净9+2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×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0.5防撞墙</w:t>
            </w:r>
          </w:p>
          <w:p w14:paraId="0FE846E9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整体式双幅：</w:t>
            </w:r>
          </w:p>
          <w:p w14:paraId="5CF502E7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0.5防撞墙+净10+分隔带2+净10+0.5防撞墙</w:t>
            </w:r>
          </w:p>
          <w:p w14:paraId="3E7D42D7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分离式双幅：一幅：</w:t>
            </w:r>
          </w:p>
          <w:p w14:paraId="667A13A9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左0.5防撞墙+净10+右0.75波形护栏</w:t>
            </w:r>
          </w:p>
        </w:tc>
      </w:tr>
      <w:tr w14:paraId="0EBF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329E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340ECC36">
            <w:pPr>
              <w:jc w:val="center"/>
              <w:rPr>
                <w:rFonts w:hint="default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0.5m防撞墙+净9.75m+2.0m分隔带+净9.75m+0.5m防撞墙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36BD1447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</w:tr>
      <w:tr w14:paraId="7723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8622C9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桥梁平面线形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59F16956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直线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圆曲线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缓和曲线</w:t>
            </w: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1D62ECCC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如平面线形复杂，应说明桥梁各部分的线形，并注明线形参数</w:t>
            </w:r>
          </w:p>
        </w:tc>
      </w:tr>
      <w:tr w14:paraId="2054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pct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1B6BB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54ABDB01">
            <w:pP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圆曲线半径</w:t>
            </w:r>
            <w:r>
              <w:rPr>
                <w:rFonts w:hint="eastAsia" w:ascii="Times New Roman" w:hAnsi="Times New Roman" w:eastAsia="宋体" w:cs="仿宋"/>
                <w:i/>
                <w:iCs/>
                <w:sz w:val="22"/>
                <w:szCs w:val="28"/>
              </w:rPr>
              <w:t>R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/m：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/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5FFDA29B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</w:tr>
      <w:tr w14:paraId="7866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AC8262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主梁</w:t>
            </w: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CC23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材料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182E08B9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钢筋混凝土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预应力混凝土</w:t>
            </w:r>
          </w:p>
          <w:p w14:paraId="391168EA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其他：</w:t>
            </w:r>
          </w:p>
          <w:p w14:paraId="6BF2AC53">
            <w:pPr>
              <w:rPr>
                <w:rFonts w:hint="default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混凝土强度等级：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C40</w:t>
            </w: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57C9EBC1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选项未列出者需另行填写</w:t>
            </w:r>
          </w:p>
        </w:tc>
      </w:tr>
      <w:tr w14:paraId="17B5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2E013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D9CC">
            <w:pPr>
              <w:jc w:val="center"/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截面形式</w:t>
            </w:r>
          </w:p>
        </w:tc>
        <w:tc>
          <w:tcPr>
            <w:tcW w:w="2535" w:type="pct"/>
            <w:gridSpan w:val="2"/>
            <w:tcBorders>
              <w:left w:val="single" w:color="auto" w:sz="4" w:space="0"/>
            </w:tcBorders>
            <w:vAlign w:val="center"/>
          </w:tcPr>
          <w:p w14:paraId="197236FC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整体式实心板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整体式空心板</w:t>
            </w:r>
          </w:p>
          <w:p w14:paraId="4DB42D26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装配式实心板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装配式空心板</w:t>
            </w:r>
          </w:p>
          <w:p w14:paraId="1434EF36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整体式肋梁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装配式T梁</w:t>
            </w:r>
          </w:p>
          <w:p w14:paraId="4DC9AD61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装配式小箱梁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整体式箱梁</w:t>
            </w:r>
          </w:p>
          <w:p w14:paraId="4D0D3602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其他：</w:t>
            </w:r>
          </w:p>
          <w:p w14:paraId="0EDDC76B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6D37FB6E">
            <w:pPr>
              <w:jc w:val="left"/>
              <w:rPr>
                <w:rFonts w:ascii="Times New Roman" w:hAnsi="Times New Roman" w:eastAsia="宋体" w:cs="仿宋"/>
                <w:sz w:val="22"/>
                <w:szCs w:val="28"/>
              </w:rPr>
            </w:pPr>
          </w:p>
        </w:tc>
      </w:tr>
      <w:tr w14:paraId="2E41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EA4237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主梁</w:t>
            </w: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FAF7F8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横向布置片数</w:t>
            </w:r>
          </w:p>
        </w:tc>
        <w:tc>
          <w:tcPr>
            <w:tcW w:w="2535" w:type="pct"/>
            <w:gridSpan w:val="2"/>
            <w:vAlign w:val="center"/>
          </w:tcPr>
          <w:p w14:paraId="1607C395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14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2E6E08E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分离式断面填一幅</w:t>
            </w:r>
          </w:p>
        </w:tc>
      </w:tr>
      <w:tr w14:paraId="73DF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3D84BC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19D1E7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横向连接方式</w:t>
            </w:r>
          </w:p>
        </w:tc>
        <w:tc>
          <w:tcPr>
            <w:tcW w:w="2535" w:type="pct"/>
            <w:gridSpan w:val="2"/>
            <w:vAlign w:val="center"/>
          </w:tcPr>
          <w:p w14:paraId="779647D5">
            <w:pP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企口铰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钢板连接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湿接缝，宽度/cm：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5B4EAA11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5E59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A9D51F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61E2CC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顶宽/m</w:t>
            </w:r>
          </w:p>
        </w:tc>
        <w:tc>
          <w:tcPr>
            <w:tcW w:w="2535" w:type="pct"/>
            <w:gridSpan w:val="2"/>
            <w:vAlign w:val="center"/>
          </w:tcPr>
          <w:p w14:paraId="19469277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 xml:space="preserve">左边梁：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1.75</w:t>
            </w:r>
            <w:r>
              <w:rPr>
                <w:rFonts w:hint="eastAsia" w:ascii="Times New Roman" w:hAnsi="Times New Roman" w:eastAsia="宋体" w:cs="仿宋"/>
              </w:rPr>
              <w:t xml:space="preserve"> 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</w:rPr>
              <w:t>中梁：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仿宋"/>
              </w:rPr>
              <w:t xml:space="preserve">   右边梁：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1.75</w:t>
            </w:r>
            <w:r>
              <w:rPr>
                <w:rFonts w:hint="eastAsia" w:ascii="Times New Roman" w:hAnsi="Times New Roman" w:eastAsia="宋体" w:cs="仿宋"/>
              </w:rPr>
              <w:t xml:space="preserve"> 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36D9780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01F5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D1D6FD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318E1C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梁（板）高/m</w:t>
            </w:r>
          </w:p>
        </w:tc>
        <w:tc>
          <w:tcPr>
            <w:tcW w:w="2535" w:type="pct"/>
            <w:gridSpan w:val="2"/>
            <w:vAlign w:val="center"/>
          </w:tcPr>
          <w:p w14:paraId="1425BF16">
            <w:pPr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>左边梁</w:t>
            </w:r>
            <w:r>
              <w:rPr>
                <w:rFonts w:hint="eastAsia" w:ascii="Times New Roman" w:hAnsi="Times New Roman" w:eastAsia="宋体" w:cs="仿宋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0.45</w:t>
            </w:r>
            <w:r>
              <w:rPr>
                <w:rFonts w:hint="eastAsia" w:ascii="Times New Roman" w:hAnsi="Times New Roman" w:eastAsia="宋体" w:cs="仿宋"/>
              </w:rPr>
              <w:t xml:space="preserve">    中梁：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0.45</w:t>
            </w:r>
            <w:r>
              <w:rPr>
                <w:rFonts w:hint="eastAsia" w:ascii="Times New Roman" w:hAnsi="Times New Roman" w:eastAsia="宋体" w:cs="仿宋"/>
              </w:rPr>
              <w:t xml:space="preserve">   右边梁：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0.45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07206CA9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17CD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4B639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502F8386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主梁简图及细部尺寸</w:t>
            </w:r>
          </w:p>
        </w:tc>
        <w:tc>
          <w:tcPr>
            <w:tcW w:w="2535" w:type="pct"/>
            <w:gridSpan w:val="2"/>
            <w:vAlign w:val="center"/>
          </w:tcPr>
          <w:p w14:paraId="49D57BDA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见CAD图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1DFD41AC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边梁、中梁分别绘制。如有桥梁拼宽，应说明并补充绘图</w:t>
            </w:r>
          </w:p>
        </w:tc>
      </w:tr>
      <w:tr w14:paraId="094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1" w:type="pct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6D3550B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横隔梁</w:t>
            </w: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64724CAD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横隔梁布置</w:t>
            </w:r>
          </w:p>
        </w:tc>
        <w:tc>
          <w:tcPr>
            <w:tcW w:w="2535" w:type="pct"/>
            <w:gridSpan w:val="2"/>
            <w:vAlign w:val="center"/>
          </w:tcPr>
          <w:p w14:paraId="0FF48635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无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32CD4E4F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主梁立面及横梁布置简图，示出主梁立面、横梁道数及位置，标注梁端至端横梁中心距离、横梁间距</w:t>
            </w:r>
          </w:p>
        </w:tc>
      </w:tr>
      <w:tr w14:paraId="1676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692926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6E5C7549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端横隔梁</w:t>
            </w:r>
          </w:p>
        </w:tc>
        <w:tc>
          <w:tcPr>
            <w:tcW w:w="2535" w:type="pct"/>
            <w:gridSpan w:val="2"/>
            <w:vAlign w:val="center"/>
          </w:tcPr>
          <w:p w14:paraId="6C0C7398">
            <w:pPr>
              <w:rPr>
                <w:rFonts w:hint="eastAsia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 xml:space="preserve">厚度cm：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仿宋"/>
              </w:rPr>
              <w:t xml:space="preserve">    横梁底至主梁底距离cm：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/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34BB74A6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287B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35B127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57DA07D9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中横隔梁</w:t>
            </w:r>
          </w:p>
        </w:tc>
        <w:tc>
          <w:tcPr>
            <w:tcW w:w="2535" w:type="pct"/>
            <w:gridSpan w:val="2"/>
            <w:vAlign w:val="center"/>
          </w:tcPr>
          <w:p w14:paraId="626BF223">
            <w:pPr>
              <w:rPr>
                <w:rFonts w:hint="eastAsia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 xml:space="preserve">厚度cm：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仿宋"/>
              </w:rPr>
              <w:t xml:space="preserve">  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</w:rPr>
              <w:t xml:space="preserve"> 横梁底至主梁底距离cm：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/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62350E8A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3DD4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92E0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7DF158D0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横向连接方式</w:t>
            </w:r>
          </w:p>
        </w:tc>
        <w:tc>
          <w:tcPr>
            <w:tcW w:w="2535" w:type="pct"/>
            <w:gridSpan w:val="2"/>
            <w:vAlign w:val="center"/>
          </w:tcPr>
          <w:p w14:paraId="2EE921AB">
            <w:pP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钢板连接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湿接缝，宽度/cm：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0BD6B92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3077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125B2A5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桥面系</w:t>
            </w: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3E431F96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车道划分/m</w:t>
            </w:r>
          </w:p>
        </w:tc>
        <w:tc>
          <w:tcPr>
            <w:tcW w:w="2535" w:type="pct"/>
            <w:gridSpan w:val="2"/>
            <w:vAlign w:val="center"/>
          </w:tcPr>
          <w:p w14:paraId="301F8773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0.5m防撞墙+2.15m应急车道+2</w:t>
            </w:r>
            <w:r>
              <w:rPr>
                <w:rFonts w:ascii="Times New Roman" w:hAnsi="Times New Roman" w:eastAsia="宋体" w:cs="Times New Roman"/>
              </w:rPr>
              <w:t>×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3.6m行车道+0.4m路缘带+2.0m分隔带+0.4m路缘带+2</w:t>
            </w:r>
            <w:r>
              <w:rPr>
                <w:rFonts w:ascii="Times New Roman" w:hAnsi="Times New Roman" w:eastAsia="宋体" w:cs="Times New Roman"/>
              </w:rPr>
              <w:t>×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3.6m行车道+3.6m行车道+0.5m防撞墙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49C04F8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左路缘带0.5+行车道2×3.75+应急车道2.5+右路缘带0.5</w:t>
            </w:r>
          </w:p>
        </w:tc>
      </w:tr>
      <w:tr w14:paraId="1783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E22D45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FEFB3DE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斜交方向</w:t>
            </w:r>
          </w:p>
          <w:p w14:paraId="19D4129C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及角度</w:t>
            </w:r>
          </w:p>
        </w:tc>
        <w:tc>
          <w:tcPr>
            <w:tcW w:w="2535" w:type="pct"/>
            <w:gridSpan w:val="2"/>
            <w:vAlign w:val="center"/>
          </w:tcPr>
          <w:p w14:paraId="77DA9EAB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左斜 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正交     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右斜</w:t>
            </w: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19060893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顺桥梁轴线看，前方锐角在左侧为左斜，类推</w:t>
            </w:r>
          </w:p>
        </w:tc>
      </w:tr>
      <w:tr w14:paraId="2486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6B13A2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3DD0331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2535" w:type="pct"/>
            <w:gridSpan w:val="2"/>
            <w:vAlign w:val="center"/>
          </w:tcPr>
          <w:p w14:paraId="00D06ABD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斜宽/m：</w:t>
            </w:r>
            <w:r>
              <w:rPr>
                <w:rFonts w:hint="eastAsia" w:ascii="Times New Roman" w:hAnsi="Times New Roman" w:eastAsia="宋体" w:cs="仿宋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仿宋"/>
              </w:rPr>
              <w:t>垂直宽度/m：</w:t>
            </w:r>
            <w:r>
              <w:rPr>
                <w:rFonts w:hint="eastAsia" w:ascii="Times New Roman" w:hAnsi="Times New Roman" w:eastAsia="宋体" w:cs="仿宋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仿宋"/>
              </w:rPr>
              <w:t xml:space="preserve"> 斜度</w:t>
            </w:r>
            <w:r>
              <w:rPr>
                <w:rFonts w:ascii="Times New Roman" w:hAnsi="Times New Roman" w:eastAsia="宋体" w:cs="Times New Roman"/>
                <w:i/>
                <w:iCs/>
              </w:rPr>
              <w:t>α</w:t>
            </w:r>
            <w:r>
              <w:rPr>
                <w:rFonts w:hint="eastAsia" w:ascii="Times New Roman" w:hAnsi="Times New Roman" w:eastAsia="宋体" w:cs="Times New Roman"/>
                <w:i/>
                <w:iCs/>
              </w:rPr>
              <w:t>/</w:t>
            </w:r>
            <w:r>
              <w:rPr>
                <w:rFonts w:hint="eastAsia" w:ascii="Times New Roman" w:hAnsi="Times New Roman" w:eastAsia="宋体" w:cs="微软雅黑"/>
              </w:rPr>
              <w:t>°</w:t>
            </w:r>
            <w:r>
              <w:rPr>
                <w:rFonts w:hint="eastAsia" w:ascii="Times New Roman" w:hAnsi="Times New Roman" w:eastAsia="宋体" w:cs="仿宋"/>
              </w:rPr>
              <w:t>：</w:t>
            </w:r>
            <w:r>
              <w:rPr>
                <w:rFonts w:hint="eastAsia" w:ascii="Times New Roman" w:hAnsi="Times New Roman" w:eastAsia="宋体" w:cs="仿宋"/>
                <w:u w:val="single"/>
              </w:rPr>
              <w:t xml:space="preserve">     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569B728E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73B0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5A324E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193" w:type="pct"/>
            <w:vMerge w:val="restart"/>
            <w:tcBorders>
              <w:left w:val="single" w:color="auto" w:sz="4" w:space="0"/>
            </w:tcBorders>
            <w:vAlign w:val="center"/>
          </w:tcPr>
          <w:p w14:paraId="2E48CE1A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铺装</w:t>
            </w:r>
          </w:p>
        </w:tc>
        <w:tc>
          <w:tcPr>
            <w:tcW w:w="689" w:type="pct"/>
            <w:gridSpan w:val="2"/>
            <w:tcBorders>
              <w:left w:val="single" w:color="auto" w:sz="4" w:space="0"/>
            </w:tcBorders>
            <w:vAlign w:val="center"/>
          </w:tcPr>
          <w:p w14:paraId="3A178746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沥青混凝土</w:t>
            </w:r>
          </w:p>
        </w:tc>
        <w:tc>
          <w:tcPr>
            <w:tcW w:w="2535" w:type="pct"/>
            <w:gridSpan w:val="2"/>
            <w:vAlign w:val="center"/>
          </w:tcPr>
          <w:p w14:paraId="33AD5B60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>厚度/</w:t>
            </w:r>
            <w:r>
              <w:rPr>
                <w:rFonts w:ascii="Times New Roman" w:hAnsi="Times New Roman" w:eastAsia="宋体" w:cs="Times New Roman"/>
              </w:rPr>
              <w:t>cm：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1C974EA4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7C9A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C83C4B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193" w:type="pct"/>
            <w:vMerge w:val="continue"/>
            <w:tcBorders>
              <w:left w:val="single" w:color="auto" w:sz="4" w:space="0"/>
            </w:tcBorders>
            <w:vAlign w:val="center"/>
          </w:tcPr>
          <w:p w14:paraId="14BDE616">
            <w:pPr>
              <w:jc w:val="left"/>
              <w:rPr>
                <w:rFonts w:ascii="Times New Roman" w:hAnsi="Times New Roman" w:eastAsia="宋体" w:cs="仿宋"/>
              </w:rPr>
            </w:pPr>
          </w:p>
        </w:tc>
        <w:tc>
          <w:tcPr>
            <w:tcW w:w="689" w:type="pct"/>
            <w:gridSpan w:val="2"/>
            <w:tcBorders>
              <w:left w:val="single" w:color="auto" w:sz="4" w:space="0"/>
            </w:tcBorders>
            <w:vAlign w:val="center"/>
          </w:tcPr>
          <w:p w14:paraId="54308F7D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水泥混凝土</w:t>
            </w:r>
          </w:p>
        </w:tc>
        <w:tc>
          <w:tcPr>
            <w:tcW w:w="2535" w:type="pct"/>
            <w:gridSpan w:val="2"/>
            <w:vAlign w:val="center"/>
          </w:tcPr>
          <w:p w14:paraId="65FDA2C6">
            <w:pPr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>厚度/cm：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仿宋"/>
              </w:rPr>
              <w:t xml:space="preserve">        强度等级：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C40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E5A6324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596D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D9CCA1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388C1BB9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防撞墙</w:t>
            </w:r>
          </w:p>
        </w:tc>
        <w:tc>
          <w:tcPr>
            <w:tcW w:w="1288" w:type="pct"/>
          </w:tcPr>
          <w:p w14:paraId="4854B9A1">
            <w:pPr>
              <w:rPr>
                <w:rFonts w:hint="eastAsia"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左侧：</w:t>
            </w:r>
          </w:p>
          <w:p w14:paraId="72105CE0">
            <w:pPr>
              <w:ind w:firstLine="630" w:firstLineChars="300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见CAD图</w:t>
            </w:r>
          </w:p>
        </w:tc>
        <w:tc>
          <w:tcPr>
            <w:tcW w:w="1247" w:type="pct"/>
          </w:tcPr>
          <w:p w14:paraId="78C7E0F4">
            <w:pPr>
              <w:rPr>
                <w:rFonts w:hint="eastAsia"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右侧：</w:t>
            </w:r>
          </w:p>
          <w:p w14:paraId="495D50A6">
            <w:pPr>
              <w:ind w:firstLine="630" w:firstLineChars="300"/>
              <w:rPr>
                <w:rFonts w:hint="eastAsia"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见CAD图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270DD9EB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防撞墙简图及细部尺寸</w:t>
            </w:r>
          </w:p>
        </w:tc>
      </w:tr>
      <w:tr w14:paraId="39AF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966BCB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CB23BAA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2535" w:type="pct"/>
            <w:gridSpan w:val="2"/>
            <w:vAlign w:val="center"/>
          </w:tcPr>
          <w:p w14:paraId="7CA7B854">
            <w:pPr>
              <w:rPr>
                <w:rFonts w:ascii="Times New Roman" w:hAnsi="Times New Roman" w:eastAsia="宋体" w:cs="仿宋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无缝 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 xml:space="preserve">真缝  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  <w:sz w:val="22"/>
                <w:szCs w:val="28"/>
              </w:rPr>
              <w:t>假缝    缝间距/m：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仿宋"/>
                <w:sz w:val="22"/>
                <w:szCs w:val="28"/>
                <w:u w:val="single"/>
              </w:rPr>
              <w:t xml:space="preserve"> 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49576AF9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42E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C284AF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3E68E4F2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波形钢板护栏底座</w:t>
            </w:r>
          </w:p>
        </w:tc>
        <w:tc>
          <w:tcPr>
            <w:tcW w:w="1288" w:type="pct"/>
          </w:tcPr>
          <w:p w14:paraId="5923FAAB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中分带</w:t>
            </w:r>
            <w:r>
              <w:rPr>
                <w:rFonts w:hint="eastAsia" w:ascii="Times New Roman" w:hAnsi="Times New Roman" w:eastAsia="宋体" w:cs="仿宋"/>
              </w:rPr>
              <w:t>：</w:t>
            </w:r>
          </w:p>
          <w:p w14:paraId="54545B65">
            <w:pPr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>宽/cm：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仿宋"/>
              </w:rPr>
              <w:t>高/cm：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10</w:t>
            </w:r>
          </w:p>
        </w:tc>
        <w:tc>
          <w:tcPr>
            <w:tcW w:w="1247" w:type="pct"/>
          </w:tcPr>
          <w:p w14:paraId="43431366">
            <w:pPr>
              <w:rPr>
                <w:rFonts w:hint="eastAsia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</w:rPr>
              <w:t>右侧：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无</w:t>
            </w:r>
          </w:p>
          <w:p w14:paraId="7F4C047F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宽/cm：    高/cm：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2255712D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561E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B28637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4BD3C6DE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防撞墙及护栏座砼强度等级</w:t>
            </w:r>
          </w:p>
        </w:tc>
        <w:tc>
          <w:tcPr>
            <w:tcW w:w="2535" w:type="pct"/>
            <w:gridSpan w:val="2"/>
          </w:tcPr>
          <w:p w14:paraId="16811927">
            <w:pPr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C40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71AEB339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6375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C1475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5209B8D9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人行道</w:t>
            </w:r>
          </w:p>
        </w:tc>
        <w:tc>
          <w:tcPr>
            <w:tcW w:w="1288" w:type="pct"/>
          </w:tcPr>
          <w:p w14:paraId="5A054FD8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左侧：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无</w:t>
            </w:r>
          </w:p>
          <w:p w14:paraId="18D50AB5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宽/cm：    高/cm：</w:t>
            </w:r>
          </w:p>
        </w:tc>
        <w:tc>
          <w:tcPr>
            <w:tcW w:w="1247" w:type="pct"/>
          </w:tcPr>
          <w:p w14:paraId="4008712F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右侧：</w:t>
            </w:r>
            <w:r>
              <w:rPr>
                <w:rFonts w:hint="eastAsia" w:ascii="Times New Roman" w:hAnsi="Times New Roman" w:eastAsia="宋体" w:cs="仿宋"/>
                <w:lang w:val="en-US" w:eastAsia="zh-CN"/>
              </w:rPr>
              <w:t>无</w:t>
            </w:r>
          </w:p>
          <w:p w14:paraId="1EEAF117">
            <w:pPr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宽/cm：    高/cm：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362FD11A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36A3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5952F1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支座</w:t>
            </w: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3ECFB3AE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支座类型</w:t>
            </w:r>
          </w:p>
        </w:tc>
        <w:tc>
          <w:tcPr>
            <w:tcW w:w="2535" w:type="pct"/>
            <w:gridSpan w:val="2"/>
            <w:vAlign w:val="center"/>
          </w:tcPr>
          <w:p w14:paraId="412CE2AB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简易垫层支座：</w:t>
            </w:r>
            <w:r>
              <w:rPr>
                <w:rFonts w:hint="eastAsia" w:ascii="Times New Roman" w:hAnsi="Times New Roman" w:eastAsia="宋体" w:cs="仿宋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</w:rPr>
              <w:t xml:space="preserve">油毛毡          </w:t>
            </w:r>
            <w:r>
              <w:rPr>
                <w:rFonts w:hint="eastAsia" w:ascii="Times New Roman" w:hAnsi="Times New Roman" w:eastAsia="宋体" w:cs="仿宋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</w:rPr>
              <w:t>橡胶板</w:t>
            </w:r>
          </w:p>
          <w:p w14:paraId="72008665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 xml:space="preserve">橡胶支座：    </w:t>
            </w:r>
            <w:r>
              <w:rPr>
                <w:rFonts w:hint="eastAsia" w:ascii="Times New Roman" w:hAnsi="Times New Roman" w:eastAsia="宋体" w:cs="仿宋"/>
              </w:rPr>
              <w:sym w:font="Wingdings 2" w:char="0052"/>
            </w:r>
            <w:r>
              <w:rPr>
                <w:rFonts w:hint="eastAsia" w:ascii="Times New Roman" w:hAnsi="Times New Roman" w:eastAsia="宋体" w:cs="仿宋"/>
              </w:rPr>
              <w:t xml:space="preserve">板式橡胶支座    </w:t>
            </w:r>
            <w:r>
              <w:rPr>
                <w:rFonts w:hint="eastAsia" w:ascii="Times New Roman" w:hAnsi="Times New Roman" w:eastAsia="宋体" w:cs="仿宋"/>
              </w:rPr>
              <w:sym w:font="Wingdings 2" w:char="00A3"/>
            </w:r>
            <w:r>
              <w:rPr>
                <w:rFonts w:hint="eastAsia" w:ascii="Times New Roman" w:hAnsi="Times New Roman" w:eastAsia="宋体" w:cs="仿宋"/>
              </w:rPr>
              <w:t>盆式橡胶支座</w:t>
            </w:r>
          </w:p>
          <w:p w14:paraId="1930CD73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其他：</w:t>
            </w:r>
          </w:p>
          <w:p w14:paraId="004678E4">
            <w:pPr>
              <w:jc w:val="left"/>
              <w:rPr>
                <w:rFonts w:ascii="Times New Roman" w:hAnsi="Times New Roman" w:eastAsia="宋体" w:cs="仿宋"/>
              </w:rPr>
            </w:pP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2A987A94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339C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C0A845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30043DDA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支座中心至梁端距离/cm</w:t>
            </w:r>
          </w:p>
        </w:tc>
        <w:tc>
          <w:tcPr>
            <w:tcW w:w="2535" w:type="pct"/>
            <w:gridSpan w:val="2"/>
            <w:vAlign w:val="center"/>
          </w:tcPr>
          <w:p w14:paraId="2DC5A56B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20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1267CFD1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5951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3A276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883" w:type="pct"/>
            <w:gridSpan w:val="3"/>
            <w:tcBorders>
              <w:left w:val="single" w:color="auto" w:sz="4" w:space="0"/>
            </w:tcBorders>
            <w:vAlign w:val="center"/>
          </w:tcPr>
          <w:p w14:paraId="2B1C439D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支座形状/规格</w:t>
            </w:r>
          </w:p>
        </w:tc>
        <w:tc>
          <w:tcPr>
            <w:tcW w:w="2535" w:type="pct"/>
            <w:gridSpan w:val="2"/>
            <w:vAlign w:val="center"/>
          </w:tcPr>
          <w:p w14:paraId="765AA118">
            <w:pPr>
              <w:jc w:val="center"/>
              <w:rPr>
                <w:rFonts w:hint="default" w:ascii="Times New Roman" w:hAnsi="Times New Roman" w:eastAsia="宋体" w:cs="仿宋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lang w:val="en-US" w:eastAsia="zh-CN"/>
              </w:rPr>
              <w:t>圆形/不详</w:t>
            </w:r>
          </w:p>
        </w:tc>
        <w:tc>
          <w:tcPr>
            <w:tcW w:w="1199" w:type="pct"/>
            <w:tcBorders>
              <w:right w:val="nil"/>
            </w:tcBorders>
            <w:vAlign w:val="center"/>
          </w:tcPr>
          <w:p w14:paraId="0DE3055E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按规范JT/T 4-2019、JT/T 391-2019填写规格</w:t>
            </w:r>
          </w:p>
        </w:tc>
      </w:tr>
      <w:tr w14:paraId="7CF8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A05514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下部结构</w:t>
            </w:r>
          </w:p>
        </w:tc>
        <w:tc>
          <w:tcPr>
            <w:tcW w:w="41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9ECA02E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桥台</w:t>
            </w:r>
          </w:p>
        </w:tc>
        <w:tc>
          <w:tcPr>
            <w:tcW w:w="467" w:type="pct"/>
            <w:vAlign w:val="center"/>
          </w:tcPr>
          <w:p w14:paraId="75C9DC39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0#台</w:t>
            </w:r>
          </w:p>
        </w:tc>
        <w:tc>
          <w:tcPr>
            <w:tcW w:w="2535" w:type="pct"/>
            <w:gridSpan w:val="2"/>
            <w:vAlign w:val="center"/>
          </w:tcPr>
          <w:p w14:paraId="5C127CE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石砌轻台，扩大基础</w:t>
            </w:r>
          </w:p>
        </w:tc>
        <w:tc>
          <w:tcPr>
            <w:tcW w:w="1199" w:type="pct"/>
            <w:vMerge w:val="restart"/>
            <w:tcBorders>
              <w:right w:val="nil"/>
            </w:tcBorders>
            <w:vAlign w:val="center"/>
          </w:tcPr>
          <w:p w14:paraId="4C4E900B">
            <w:pPr>
              <w:jc w:val="left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墩台结构形式、基础形式，材料及主要尺寸</w:t>
            </w:r>
          </w:p>
        </w:tc>
      </w:tr>
      <w:tr w14:paraId="584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9A1043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41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86EBFB7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467" w:type="pct"/>
            <w:vAlign w:val="center"/>
          </w:tcPr>
          <w:p w14:paraId="4BBDC68B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  <w:i/>
                <w:iCs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仿宋"/>
              </w:rPr>
              <w:t>#台</w:t>
            </w:r>
          </w:p>
        </w:tc>
        <w:tc>
          <w:tcPr>
            <w:tcW w:w="2535" w:type="pct"/>
            <w:gridSpan w:val="2"/>
            <w:vAlign w:val="center"/>
          </w:tcPr>
          <w:p w14:paraId="4A768E1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石砌轻台，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扩大基础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4136397C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057F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8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DFF2C1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41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E70B2CC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桥墩</w:t>
            </w:r>
          </w:p>
        </w:tc>
        <w:tc>
          <w:tcPr>
            <w:tcW w:w="467" w:type="pct"/>
            <w:vAlign w:val="center"/>
          </w:tcPr>
          <w:p w14:paraId="44883066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普通墩</w:t>
            </w:r>
          </w:p>
        </w:tc>
        <w:tc>
          <w:tcPr>
            <w:tcW w:w="2535" w:type="pct"/>
            <w:gridSpan w:val="2"/>
            <w:vAlign w:val="center"/>
          </w:tcPr>
          <w:p w14:paraId="37B58F4C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4B473312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  <w:tr w14:paraId="69AB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BF856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41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A2FCF2">
            <w:pPr>
              <w:jc w:val="center"/>
              <w:rPr>
                <w:rFonts w:ascii="Times New Roman" w:hAnsi="Times New Roman" w:eastAsia="宋体" w:cs="仿宋"/>
              </w:rPr>
            </w:pPr>
          </w:p>
        </w:tc>
        <w:tc>
          <w:tcPr>
            <w:tcW w:w="467" w:type="pct"/>
            <w:vAlign w:val="center"/>
          </w:tcPr>
          <w:p w14:paraId="31CE9393">
            <w:pPr>
              <w:jc w:val="center"/>
              <w:rPr>
                <w:rFonts w:ascii="Times New Roman" w:hAnsi="Times New Roman" w:eastAsia="宋体" w:cs="仿宋"/>
              </w:rPr>
            </w:pPr>
            <w:r>
              <w:rPr>
                <w:rFonts w:hint="eastAsia" w:ascii="Times New Roman" w:hAnsi="Times New Roman" w:eastAsia="宋体" w:cs="仿宋"/>
              </w:rPr>
              <w:t>分联墩</w:t>
            </w:r>
          </w:p>
        </w:tc>
        <w:tc>
          <w:tcPr>
            <w:tcW w:w="2535" w:type="pct"/>
            <w:gridSpan w:val="2"/>
            <w:vAlign w:val="center"/>
          </w:tcPr>
          <w:p w14:paraId="5D00491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石砌轻墩，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扩大基础</w:t>
            </w:r>
          </w:p>
        </w:tc>
        <w:tc>
          <w:tcPr>
            <w:tcW w:w="1199" w:type="pct"/>
            <w:vMerge w:val="continue"/>
            <w:tcBorders>
              <w:right w:val="nil"/>
            </w:tcBorders>
            <w:vAlign w:val="center"/>
          </w:tcPr>
          <w:p w14:paraId="6EFFE2C5">
            <w:pPr>
              <w:jc w:val="center"/>
              <w:rPr>
                <w:rFonts w:ascii="Times New Roman" w:hAnsi="Times New Roman" w:eastAsia="宋体" w:cs="仿宋"/>
              </w:rPr>
            </w:pPr>
          </w:p>
        </w:tc>
      </w:tr>
    </w:tbl>
    <w:p w14:paraId="7700870A">
      <w:pPr>
        <w:rPr>
          <w:rFonts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br w:type="page"/>
      </w:r>
    </w:p>
    <w:p w14:paraId="6AF3F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6D72"/>
    <w:rsid w:val="29200286"/>
    <w:rsid w:val="338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2025-10-31T01:53:00Z</dcterms:created>
  <dc:creator>PowerFul</dc:creator>
  <cp:lastModifiedBy>PowerFul</cp:lastModifiedBy>
  <dcterms:modified xsi:type="dcterms:W3CDTF">2025-10-31T02:19:35Z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5C67818F897343DBB3B447F788B0892C_11</vt:lpwstr>
  </property>
  <property fmtid="{D5CDD505-2E9C-101B-9397-08002B2CF9AE}" pid="4" name="KSOTemplateDocerSaveRecord">
    <vt:lpwstr>eyJoZGlkIjoiYjhiZWIwZWZlMjgxOWMzNjVmZmVmZjMyOTk0MjI5MTMiLCJ1c2VySWQiOiI3NDgxMTk4MDMifQ==</vt:lpwstr>
  </property>
</Properties>
</file>